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FF8" w:rsidRPr="00A20752" w:rsidRDefault="002B1FF8" w:rsidP="002B1FF8">
      <w:pPr>
        <w:keepNext/>
        <w:keepLines/>
        <w:numPr>
          <w:ilvl w:val="1"/>
          <w:numId w:val="3"/>
        </w:numPr>
        <w:spacing w:before="40" w:line="259" w:lineRule="auto"/>
        <w:ind w:left="851" w:hanging="491"/>
        <w:jc w:val="both"/>
        <w:outlineLvl w:val="1"/>
        <w:rPr>
          <w:b/>
          <w:bCs/>
          <w:i/>
          <w:iCs/>
          <w:color w:val="000000"/>
          <w:sz w:val="28"/>
          <w:szCs w:val="28"/>
        </w:rPr>
      </w:pPr>
      <w:bookmarkStart w:id="0" w:name="_Ref118192046"/>
      <w:r w:rsidRPr="00A20752">
        <w:rPr>
          <w:b/>
          <w:bCs/>
          <w:i/>
          <w:iCs/>
          <w:color w:val="000000"/>
          <w:sz w:val="28"/>
          <w:szCs w:val="28"/>
        </w:rPr>
        <w:t>Состав работ</w:t>
      </w:r>
      <w:bookmarkEnd w:id="0"/>
    </w:p>
    <w:p w:rsidR="002B1FF8" w:rsidRPr="00A20752" w:rsidRDefault="002B1FF8" w:rsidP="002B1FF8">
      <w:pPr>
        <w:rPr>
          <w:color w:val="000000"/>
        </w:rPr>
      </w:pP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 xml:space="preserve">Работы по установке (замене) 1ф и 3ф ИПУ потребителей (физических и юридических лиц) в МКД и установке (замене) ОДПУ электроэнергии, каналообразующего оборудования, производятся Подрядчиком в соответствии с заявками Заказчика (далее – Заявка), в которых указывается: перечень адресов МКД и потребителей (для физических лиц - </w:t>
      </w:r>
      <w:proofErr w:type="spellStart"/>
      <w:r w:rsidRPr="00A20752">
        <w:rPr>
          <w:color w:val="000000"/>
        </w:rPr>
        <w:t>по-квартирно</w:t>
      </w:r>
      <w:proofErr w:type="spellEnd"/>
      <w:r w:rsidRPr="00A20752">
        <w:rPr>
          <w:color w:val="000000"/>
        </w:rPr>
        <w:t>), мест размещения ПУ (холл/лестница/квартира), типы приборов учета по каждому потребителю, наличие существующей опорной сети Заказчика.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 xml:space="preserve">Заявки направляются Заказчиком в адрес Подрядчика один раз в месяц (с первое по пятое число месяца). Подрядчик в течение двух рабочих дней с момента получения Заявки проверяет корректность ее заполнения и, в случае необходимости, выдает Заказчику замечания. Срок устранения Заказчиком обоснованных замечаний Подрядчика составляет 2 рабочих дня. В течение трех рабочих дней после направления Заказчиком откорректированной Заявки, Подрядчик разрабатывает и </w:t>
      </w:r>
      <w:bookmarkStart w:id="1" w:name="_GoBack"/>
      <w:bookmarkEnd w:id="1"/>
      <w:r w:rsidRPr="00A20752">
        <w:rPr>
          <w:color w:val="000000"/>
        </w:rPr>
        <w:t>направляет Заказчику график выполнения работ по Заявке с учетом сроков поставки оборудования и материалов. Заказчик в течение 2 рабочих дней рассматривает и направляет обоснованные замечания Подрядчику для устранения либо согласовывает представленный Подрядчиком выполнения работ.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Со стороны Заказчика допускается корректировка состава Объектов работ и количества точек учета в Заявках, ранее направленных в адрес Подрядчика, но не чаще одного раза в месяц и при условии, что по изменяемым Объектам работ в корректируемой Заявке не производились строительно-монтажные работы.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>Далее по разделам ТЗ приведен состав, этапность работ, а также технические требования для максимально возможного варианта из всех технических решений.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Конкретный перечень этапов работ, соответствующий выбранному Заказчиком техническому решению, приведен в таблице 4.</w:t>
      </w:r>
    </w:p>
    <w:p w:rsidR="002B1FF8" w:rsidRPr="00A20752" w:rsidRDefault="002B1FF8" w:rsidP="002B1FF8">
      <w:pPr>
        <w:rPr>
          <w:color w:val="000000"/>
        </w:rPr>
      </w:pPr>
    </w:p>
    <w:p w:rsidR="002B1FF8" w:rsidRPr="00A20752" w:rsidRDefault="002B1FF8" w:rsidP="002B1FF8">
      <w:pPr>
        <w:keepNext/>
        <w:keepLines/>
        <w:numPr>
          <w:ilvl w:val="2"/>
          <w:numId w:val="3"/>
        </w:numPr>
        <w:spacing w:before="40" w:line="259" w:lineRule="auto"/>
        <w:ind w:left="709" w:hanging="709"/>
        <w:jc w:val="both"/>
        <w:outlineLvl w:val="1"/>
        <w:rPr>
          <w:bCs/>
          <w:i/>
          <w:iCs/>
          <w:color w:val="000000"/>
          <w:sz w:val="28"/>
          <w:szCs w:val="28"/>
        </w:rPr>
      </w:pPr>
      <w:r w:rsidRPr="00A20752">
        <w:rPr>
          <w:b/>
          <w:bCs/>
          <w:i/>
          <w:iCs/>
          <w:color w:val="000000"/>
          <w:sz w:val="28"/>
          <w:szCs w:val="28"/>
        </w:rPr>
        <w:t>Работы, выполняемые в рамках данного технического задания, включают: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получение исходных данных от Заказчика (в виде Заявок); 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проведение предпроектного обследования (ППО); 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разработка проектной документации (ПИР);  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поставка оборудования и материалов; 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>выполнение монтажных работ;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>выполнение пуско-наладочных работ.</w:t>
      </w:r>
    </w:p>
    <w:p w:rsidR="002B1FF8" w:rsidRPr="00A20752" w:rsidRDefault="002B1FF8" w:rsidP="002B1FF8">
      <w:pPr>
        <w:keepNext/>
        <w:keepLines/>
        <w:numPr>
          <w:ilvl w:val="2"/>
          <w:numId w:val="3"/>
        </w:numPr>
        <w:spacing w:before="120" w:line="259" w:lineRule="auto"/>
        <w:ind w:left="709" w:hanging="709"/>
        <w:jc w:val="both"/>
        <w:outlineLvl w:val="1"/>
        <w:rPr>
          <w:bCs/>
          <w:i/>
          <w:iCs/>
          <w:color w:val="000000"/>
          <w:sz w:val="28"/>
          <w:szCs w:val="28"/>
        </w:rPr>
      </w:pPr>
      <w:r w:rsidRPr="00A20752">
        <w:rPr>
          <w:b/>
          <w:bCs/>
          <w:i/>
          <w:iCs/>
          <w:color w:val="000000"/>
          <w:sz w:val="28"/>
          <w:szCs w:val="28"/>
        </w:rPr>
        <w:t>Требования к этапам выполнения работ</w:t>
      </w:r>
    </w:p>
    <w:p w:rsidR="002B1FF8" w:rsidRPr="00A20752" w:rsidRDefault="002B1FF8" w:rsidP="002B1FF8">
      <w:pPr>
        <w:spacing w:before="120"/>
        <w:ind w:firstLine="357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Проведение ППО и ПИР осуществляется по </w:t>
      </w:r>
      <w:r w:rsidRPr="00A20752">
        <w:rPr>
          <w:color w:val="000000"/>
        </w:rPr>
        <w:t>каждому Объекту, подлежащему оснащению ОДПУ и/или каналообразующей аппаратурой. Сдача данных работ может производиться по одному или нескольким МКД (группой).</w:t>
      </w:r>
    </w:p>
    <w:p w:rsidR="002B1FF8" w:rsidRPr="00A20752" w:rsidRDefault="002B1FF8" w:rsidP="002B1FF8">
      <w:pPr>
        <w:spacing w:before="120"/>
        <w:ind w:firstLine="357"/>
        <w:jc w:val="both"/>
        <w:rPr>
          <w:bCs/>
          <w:color w:val="000000"/>
        </w:rPr>
      </w:pPr>
      <w:r w:rsidRPr="00A20752">
        <w:rPr>
          <w:bCs/>
          <w:color w:val="000000"/>
        </w:rPr>
        <w:t>Выполнение и сдача работ по установке (замене) и пуско-наладке приборов учета электроэнергии осуществляется как по отдельным ПУ, так и по группе ПУ. Группа ПУ – совокупность приборов учета, установленных в одном или нескольких МКД.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bCs/>
          <w:color w:val="000000"/>
        </w:rPr>
        <w:t xml:space="preserve">Сдача СМР и ПНР </w:t>
      </w:r>
      <w:r w:rsidRPr="00A20752">
        <w:rPr>
          <w:color w:val="000000"/>
        </w:rPr>
        <w:t>каналообразующего оборудования может производиться по одному или нескольким МКД (группой).</w:t>
      </w:r>
    </w:p>
    <w:p w:rsidR="002B1FF8" w:rsidRPr="00A20752" w:rsidRDefault="002B1FF8" w:rsidP="002B1FF8">
      <w:pPr>
        <w:spacing w:before="120"/>
        <w:ind w:firstLine="357"/>
        <w:jc w:val="both"/>
        <w:rPr>
          <w:bCs/>
          <w:color w:val="000000"/>
        </w:rPr>
      </w:pPr>
    </w:p>
    <w:p w:rsidR="002B1FF8" w:rsidRPr="00A20752" w:rsidRDefault="002B1FF8" w:rsidP="002B1FF8">
      <w:pPr>
        <w:keepNext/>
        <w:keepLines/>
        <w:numPr>
          <w:ilvl w:val="3"/>
          <w:numId w:val="3"/>
        </w:numPr>
        <w:spacing w:before="40" w:line="259" w:lineRule="auto"/>
        <w:ind w:left="993" w:hanging="993"/>
        <w:jc w:val="both"/>
        <w:outlineLvl w:val="1"/>
        <w:rPr>
          <w:bCs/>
          <w:i/>
          <w:iCs/>
          <w:color w:val="000000"/>
          <w:sz w:val="28"/>
          <w:szCs w:val="28"/>
        </w:rPr>
      </w:pPr>
      <w:r w:rsidRPr="00A20752">
        <w:rPr>
          <w:b/>
          <w:bCs/>
          <w:i/>
          <w:iCs/>
          <w:color w:val="000000"/>
          <w:sz w:val="28"/>
          <w:szCs w:val="28"/>
        </w:rPr>
        <w:lastRenderedPageBreak/>
        <w:t>Требования к проведению ППО</w:t>
      </w:r>
    </w:p>
    <w:p w:rsidR="002B1FF8" w:rsidRPr="00A20752" w:rsidRDefault="002B1FF8" w:rsidP="002B1FF8">
      <w:pPr>
        <w:shd w:val="clear" w:color="auto" w:fill="FFFFFF"/>
        <w:tabs>
          <w:tab w:val="left" w:pos="426"/>
        </w:tabs>
        <w:jc w:val="both"/>
        <w:rPr>
          <w:color w:val="000000"/>
        </w:rPr>
      </w:pPr>
      <w:r w:rsidRPr="00A20752">
        <w:rPr>
          <w:color w:val="000000"/>
        </w:rPr>
        <w:tab/>
        <w:t xml:space="preserve">В ходе предпроектного обследования Подрядчик обязан провести обследование Объекта на предмет определения </w:t>
      </w:r>
      <w:r w:rsidRPr="00A20752">
        <w:rPr>
          <w:rFonts w:eastAsia="Calibri"/>
        </w:rPr>
        <w:t>количества и типа ОДПУ, а также иного оборудования, необходимого для обеспечения коммерческого учета электрической энергии (мощности) по данному Объекту</w:t>
      </w:r>
      <w:r w:rsidRPr="00A20752">
        <w:rPr>
          <w:color w:val="000000"/>
        </w:rPr>
        <w:t>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 xml:space="preserve">Подрядчик по итогам предпроектного обследования представляет </w:t>
      </w:r>
      <w:bookmarkStart w:id="2" w:name="_Hlk154510690"/>
      <w:r w:rsidRPr="00A20752">
        <w:t>отчет ППО ОДПУ</w:t>
      </w:r>
      <w:r w:rsidRPr="00A20752">
        <w:rPr>
          <w:color w:val="000000"/>
        </w:rPr>
        <w:t xml:space="preserve"> </w:t>
      </w:r>
      <w:bookmarkEnd w:id="2"/>
      <w:r w:rsidRPr="00A20752">
        <w:rPr>
          <w:color w:val="000000"/>
        </w:rPr>
        <w:t>по каждому Объекту, который должен быть согласован с Заказчиком. Сдача результатов ППО может осуществляться как по одному Объекту, так и по нескольким (группой), с приложением реестра объектов.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bookmarkStart w:id="3" w:name="_Hlk154510728"/>
      <w:r w:rsidRPr="00A20752">
        <w:t>М</w:t>
      </w:r>
      <w:r w:rsidRPr="00A20752">
        <w:rPr>
          <w:rFonts w:eastAsia="Calibri"/>
        </w:rPr>
        <w:t>еста установки каналообразующего оборудования указываются Подрядчиком в ведомости установленного каналообразующего оборудования (Приложение № 6 к Договору) по факту производства СМР и ПНР</w:t>
      </w:r>
      <w:r w:rsidRPr="00A20752">
        <w:t>.</w:t>
      </w:r>
      <w:bookmarkEnd w:id="3"/>
    </w:p>
    <w:p w:rsidR="002B1FF8" w:rsidRPr="00A20752" w:rsidRDefault="002B1FF8" w:rsidP="002B1FF8">
      <w:pPr>
        <w:widowControl w:val="0"/>
        <w:shd w:val="clear" w:color="auto" w:fill="FFFFFF"/>
        <w:tabs>
          <w:tab w:val="num" w:pos="1288"/>
        </w:tabs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b/>
          <w:bCs/>
          <w:color w:val="000000"/>
        </w:rPr>
      </w:pPr>
    </w:p>
    <w:p w:rsidR="002B1FF8" w:rsidRPr="00A20752" w:rsidRDefault="002B1FF8" w:rsidP="002B1FF8">
      <w:pPr>
        <w:keepNext/>
        <w:keepLines/>
        <w:numPr>
          <w:ilvl w:val="3"/>
          <w:numId w:val="3"/>
        </w:numPr>
        <w:spacing w:before="40" w:line="259" w:lineRule="auto"/>
        <w:ind w:left="993" w:hanging="993"/>
        <w:jc w:val="both"/>
        <w:outlineLvl w:val="1"/>
        <w:rPr>
          <w:i/>
          <w:iCs/>
          <w:color w:val="000000"/>
          <w:sz w:val="28"/>
        </w:rPr>
      </w:pPr>
      <w:r w:rsidRPr="00A20752">
        <w:rPr>
          <w:b/>
          <w:bCs/>
          <w:i/>
          <w:iCs/>
          <w:color w:val="000000"/>
          <w:sz w:val="28"/>
        </w:rPr>
        <w:t>Требования к проведению ПИР</w:t>
      </w:r>
    </w:p>
    <w:p w:rsidR="002B1FF8" w:rsidRPr="00A20752" w:rsidRDefault="002B1FF8" w:rsidP="002B1FF8">
      <w:pPr>
        <w:shd w:val="clear" w:color="auto" w:fill="FFFFFF"/>
        <w:tabs>
          <w:tab w:val="left" w:pos="851"/>
          <w:tab w:val="left" w:pos="1418"/>
          <w:tab w:val="left" w:pos="1560"/>
        </w:tabs>
        <w:spacing w:before="120"/>
        <w:ind w:firstLine="709"/>
        <w:jc w:val="both"/>
        <w:rPr>
          <w:color w:val="000000"/>
        </w:rPr>
      </w:pPr>
      <w:r w:rsidRPr="00A20752">
        <w:rPr>
          <w:color w:val="000000"/>
        </w:rPr>
        <w:tab/>
        <w:t>Подрядчик в соответствии с типовыми проектными решениями, согласованными сторонами,</w:t>
      </w:r>
      <w:r w:rsidRPr="00A20752">
        <w:rPr>
          <w:color w:val="000000"/>
          <w:sz w:val="28"/>
        </w:rPr>
        <w:t xml:space="preserve"> </w:t>
      </w:r>
      <w:r w:rsidRPr="00A20752">
        <w:rPr>
          <w:color w:val="000000"/>
        </w:rPr>
        <w:t>настоящим Техническим заданием на выполнение работ разрабатывает:</w:t>
      </w:r>
    </w:p>
    <w:p w:rsidR="002B1FF8" w:rsidRPr="00A20752" w:rsidRDefault="002B1FF8" w:rsidP="002B1FF8">
      <w:pPr>
        <w:numPr>
          <w:ilvl w:val="0"/>
          <w:numId w:val="5"/>
        </w:numPr>
        <w:tabs>
          <w:tab w:val="left" w:pos="851"/>
        </w:tabs>
        <w:suppressAutoHyphens/>
        <w:spacing w:before="120" w:line="360" w:lineRule="auto"/>
        <w:ind w:left="0" w:firstLine="709"/>
        <w:jc w:val="both"/>
        <w:rPr>
          <w:color w:val="000000"/>
        </w:rPr>
      </w:pPr>
      <w:r w:rsidRPr="00A20752">
        <w:rPr>
          <w:color w:val="000000"/>
        </w:rPr>
        <w:t>проектную документацию на вынос ПУ из помещений собственников в места общего пользования (холл/лестница),</w:t>
      </w:r>
    </w:p>
    <w:p w:rsidR="002B1FF8" w:rsidRPr="00A20752" w:rsidRDefault="002B1FF8" w:rsidP="002B1FF8">
      <w:pPr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</w:rPr>
      </w:pPr>
      <w:r w:rsidRPr="00A20752">
        <w:rPr>
          <w:color w:val="000000"/>
        </w:rPr>
        <w:t xml:space="preserve">проектную документацию по размещению ОДПУ и каналообразующего оборудования; </w:t>
      </w:r>
    </w:p>
    <w:p w:rsidR="002B1FF8" w:rsidRPr="00A20752" w:rsidRDefault="002B1FF8" w:rsidP="002B1FF8">
      <w:pPr>
        <w:widowControl w:val="0"/>
        <w:shd w:val="clear" w:color="auto" w:fill="FFFFFF"/>
        <w:tabs>
          <w:tab w:val="left" w:pos="851"/>
          <w:tab w:val="num" w:pos="1288"/>
        </w:tabs>
        <w:suppressAutoHyphens/>
        <w:autoSpaceDE w:val="0"/>
        <w:autoSpaceDN w:val="0"/>
        <w:adjustRightInd w:val="0"/>
        <w:spacing w:before="120"/>
        <w:ind w:firstLine="709"/>
        <w:jc w:val="both"/>
        <w:rPr>
          <w:color w:val="000000"/>
        </w:rPr>
      </w:pPr>
      <w:r w:rsidRPr="00A20752">
        <w:rPr>
          <w:color w:val="000000"/>
        </w:rPr>
        <w:t xml:space="preserve">Заказчик согласовывает проектную документацию, разработанную Подрядчиком. </w:t>
      </w:r>
    </w:p>
    <w:p w:rsidR="002B1FF8" w:rsidRPr="00A20752" w:rsidRDefault="002B1FF8" w:rsidP="002B1FF8">
      <w:pPr>
        <w:widowControl w:val="0"/>
        <w:shd w:val="clear" w:color="auto" w:fill="FFFFFF"/>
        <w:tabs>
          <w:tab w:val="left" w:pos="851"/>
          <w:tab w:val="num" w:pos="1288"/>
        </w:tabs>
        <w:suppressAutoHyphens/>
        <w:autoSpaceDE w:val="0"/>
        <w:autoSpaceDN w:val="0"/>
        <w:adjustRightInd w:val="0"/>
        <w:spacing w:before="120"/>
        <w:ind w:firstLine="709"/>
        <w:jc w:val="both"/>
        <w:rPr>
          <w:color w:val="000000"/>
        </w:rPr>
      </w:pPr>
      <w:r w:rsidRPr="00A20752">
        <w:rPr>
          <w:color w:val="000000"/>
        </w:rPr>
        <w:t>Сдача результатов ПИР может осуществляться как по одному Объекту, так и по нескольким (группой), с приложением реестра объектов.</w:t>
      </w:r>
    </w:p>
    <w:p w:rsidR="002B1FF8" w:rsidRPr="00A20752" w:rsidRDefault="002B1FF8" w:rsidP="002B1FF8">
      <w:pPr>
        <w:widowControl w:val="0"/>
        <w:shd w:val="clear" w:color="auto" w:fill="FFFFFF"/>
        <w:tabs>
          <w:tab w:val="num" w:pos="1288"/>
        </w:tabs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b/>
          <w:bCs/>
          <w:color w:val="000000"/>
        </w:rPr>
      </w:pPr>
    </w:p>
    <w:p w:rsidR="002B1FF8" w:rsidRPr="00A20752" w:rsidRDefault="002B1FF8" w:rsidP="002B1FF8">
      <w:pPr>
        <w:keepNext/>
        <w:keepLines/>
        <w:numPr>
          <w:ilvl w:val="3"/>
          <w:numId w:val="3"/>
        </w:numPr>
        <w:spacing w:before="40" w:line="259" w:lineRule="auto"/>
        <w:ind w:left="993" w:hanging="993"/>
        <w:jc w:val="both"/>
        <w:outlineLvl w:val="1"/>
        <w:rPr>
          <w:i/>
          <w:iCs/>
          <w:color w:val="000000"/>
          <w:sz w:val="28"/>
        </w:rPr>
      </w:pPr>
      <w:r w:rsidRPr="00A20752">
        <w:rPr>
          <w:b/>
          <w:bCs/>
          <w:i/>
          <w:iCs/>
          <w:color w:val="000000"/>
          <w:sz w:val="28"/>
        </w:rPr>
        <w:t>Требования к проведению СМР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Подрядчик выполняет монтажные работы в соответствии с утвержденными Заказчиком проектными решениями. Доставка материалов и оборудования на Объекты работ, а также погрузочно-разгрузочные работы производятся силами и за счёт Подрядчика.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ab/>
        <w:t xml:space="preserve">Все применяемые Подрядчиком материалы и оборудование должны соответствовать требованиям действующего законодательства Российской Федерации, иметь сертификаты, технические паспорта и другие документы, удостоверяющие их качество. 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ab/>
        <w:t>Монтаж и подключение каналообразующего оборудования (шлюзы, роутеры и т.д.) проводятся Подрядчиком на месте его эксплуатации в соответствии с требованиями руководства по эксплуатации, инструкций по монтажу и паспорта завода-изготовителя.</w:t>
      </w:r>
    </w:p>
    <w:p w:rsidR="002B1FF8" w:rsidRPr="00A20752" w:rsidRDefault="002B1FF8" w:rsidP="002B1FF8">
      <w:pPr>
        <w:ind w:firstLine="709"/>
        <w:jc w:val="both"/>
        <w:rPr>
          <w:color w:val="000000"/>
        </w:rPr>
      </w:pPr>
      <w:r w:rsidRPr="00A20752">
        <w:rPr>
          <w:color w:val="000000"/>
        </w:rPr>
        <w:t xml:space="preserve">После замены прибора учета электроэнергии Подрядчик осуществляет пломбировку прибора учета электроэнергии. В этих целях Заказчик не позднее чем за 14 календарных до предполагаемой даты монтажных работ предоставляет Подрядчику достаточное количество номерных одноразовых пломб и </w:t>
      </w:r>
      <w:proofErr w:type="spellStart"/>
      <w:r w:rsidRPr="00A20752">
        <w:rPr>
          <w:color w:val="000000"/>
        </w:rPr>
        <w:t>пломбираторов</w:t>
      </w:r>
      <w:proofErr w:type="spellEnd"/>
      <w:r w:rsidRPr="00A20752">
        <w:rPr>
          <w:color w:val="000000"/>
        </w:rPr>
        <w:t xml:space="preserve"> (для пломбировки ПУ, установленных в жилых и нежилых помещениях). В случае невозможности предоставление Заказчиком необходимого количества пломб и </w:t>
      </w:r>
      <w:proofErr w:type="spellStart"/>
      <w:r w:rsidRPr="00A20752">
        <w:rPr>
          <w:color w:val="000000"/>
        </w:rPr>
        <w:t>пломбираторов</w:t>
      </w:r>
      <w:proofErr w:type="spellEnd"/>
      <w:r w:rsidRPr="00A20752">
        <w:rPr>
          <w:color w:val="000000"/>
        </w:rPr>
        <w:t xml:space="preserve"> Подрядчик, по согласованию с Заказчиком, в праве приобрести их самостоятельно, а в этом случае Заказчик компенсирует расходы на их приобретение.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ab/>
        <w:t>Демонтированные приборы учета Подрядчик обязан передать собственнику соответствующего жилого или нежилого помещения в части ИПУ, обслуживающим организациям (УК, ТСЖ и т.д.) в части ОДПУ. Демонтированные приборы учета, находящиеся на балансе Заказчика, Подрядчик обязан передать Заказчику.</w:t>
      </w:r>
    </w:p>
    <w:p w:rsidR="002B1FF8" w:rsidRPr="00A20752" w:rsidRDefault="002B1FF8" w:rsidP="002B1FF8">
      <w:pPr>
        <w:widowControl w:val="0"/>
        <w:shd w:val="clear" w:color="auto" w:fill="FFFFFF"/>
        <w:tabs>
          <w:tab w:val="num" w:pos="1288"/>
        </w:tabs>
        <w:suppressAutoHyphens/>
        <w:autoSpaceDE w:val="0"/>
        <w:autoSpaceDN w:val="0"/>
        <w:adjustRightInd w:val="0"/>
        <w:spacing w:before="120" w:line="360" w:lineRule="auto"/>
        <w:ind w:left="425"/>
        <w:jc w:val="both"/>
        <w:rPr>
          <w:bCs/>
          <w:color w:val="000000"/>
        </w:rPr>
      </w:pPr>
      <w:r w:rsidRPr="00A20752">
        <w:rPr>
          <w:bCs/>
          <w:color w:val="000000"/>
        </w:rPr>
        <w:t>Заказчик обеспечивает: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lastRenderedPageBreak/>
        <w:t>Своевременное уведомление потребителей о планируемом проведении работ и срока отключения электроэнергии;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>Организацию доступа персонала Подрядчика на объекты проведения работ со стороны управляющих компаний;</w:t>
      </w:r>
    </w:p>
    <w:p w:rsidR="002B1FF8" w:rsidRPr="00A20752" w:rsidRDefault="002B1FF8" w:rsidP="002B1FF8">
      <w:pPr>
        <w:numPr>
          <w:ilvl w:val="0"/>
          <w:numId w:val="1"/>
        </w:numPr>
        <w:suppressAutoHyphens/>
        <w:spacing w:line="360" w:lineRule="auto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Направление официальных уведомлений потребителям о датах проведения комиссионного ввода в эксплуатацию. </w:t>
      </w:r>
    </w:p>
    <w:p w:rsidR="002B1FF8" w:rsidRPr="00A20752" w:rsidRDefault="002B1FF8" w:rsidP="002B1FF8">
      <w:pPr>
        <w:ind w:firstLine="360"/>
        <w:jc w:val="both"/>
        <w:rPr>
          <w:color w:val="000000"/>
        </w:rPr>
      </w:pPr>
      <w:r w:rsidRPr="00A20752">
        <w:rPr>
          <w:color w:val="000000"/>
        </w:rPr>
        <w:t>По факту выполнения и проверки результатов монтажных работ, последующей сдачи результатов выполнения СМР Заказчику, Подрядчик предоставляет Заказчику ведомость установленного каналообразующего оборудования (в случае выполнения данного вида работ), ведомость установленных и снятых приборов учёта электроэнергии и реестр установленных номерных одноразовых пломб.</w:t>
      </w:r>
    </w:p>
    <w:p w:rsidR="002B1FF8" w:rsidRPr="00A20752" w:rsidRDefault="002B1FF8" w:rsidP="002B1FF8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3"/>
        <w:jc w:val="both"/>
        <w:rPr>
          <w:bCs/>
          <w:color w:val="000000"/>
        </w:rPr>
      </w:pPr>
    </w:p>
    <w:p w:rsidR="002B1FF8" w:rsidRPr="00A20752" w:rsidRDefault="002B1FF8" w:rsidP="002B1FF8">
      <w:pPr>
        <w:keepNext/>
        <w:keepLines/>
        <w:numPr>
          <w:ilvl w:val="3"/>
          <w:numId w:val="3"/>
        </w:numPr>
        <w:spacing w:before="40" w:line="259" w:lineRule="auto"/>
        <w:ind w:left="993" w:hanging="993"/>
        <w:jc w:val="both"/>
        <w:outlineLvl w:val="1"/>
        <w:rPr>
          <w:i/>
          <w:iCs/>
          <w:color w:val="000000"/>
          <w:sz w:val="28"/>
        </w:rPr>
      </w:pPr>
      <w:r w:rsidRPr="00A20752">
        <w:rPr>
          <w:b/>
          <w:bCs/>
          <w:i/>
          <w:iCs/>
          <w:color w:val="000000"/>
          <w:sz w:val="28"/>
        </w:rPr>
        <w:t>Требования к проведению ПНР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 xml:space="preserve">ПНР шлюзов и роутеров (ПНР СПД) включают в себя комплекс работ по подготовке к организации опроса приборов учета, находящихся в радиусе действия </w:t>
      </w:r>
      <w:r w:rsidRPr="00A20752">
        <w:rPr>
          <w:color w:val="000000"/>
          <w:lang w:val="en-US"/>
        </w:rPr>
        <w:t>Zigbee</w:t>
      </w:r>
      <w:r w:rsidRPr="00A20752">
        <w:rPr>
          <w:color w:val="000000"/>
        </w:rPr>
        <w:t xml:space="preserve"> сети каналообразующего оборудования, включая её открытие.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 xml:space="preserve">ПНР ПУ, выполняемые независимо от проведения работ по обеспечению дистанционной передачи данных с ПУ на сервер ИВК Заказчика, включают в себя </w:t>
      </w:r>
      <w:proofErr w:type="spellStart"/>
      <w:r w:rsidRPr="00A20752">
        <w:rPr>
          <w:color w:val="000000"/>
        </w:rPr>
        <w:t>параметрирование</w:t>
      </w:r>
      <w:proofErr w:type="spellEnd"/>
      <w:r w:rsidRPr="00A20752">
        <w:rPr>
          <w:color w:val="000000"/>
        </w:rPr>
        <w:t xml:space="preserve"> ПУ в части программирования ПУ в соответствующий тарифный режим и часовой пояс.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ПНР ПУ (СПД), обеспечивающих дистанционную передачу данных с ПУ на сервер ИВК Заказчика, выполняются при наличии Заявки Заказчика на работы по организации опорной сети или предоставления Заказчиком доступа к существующей опорной сети на объекте установки ПУ и включают в себя:</w:t>
      </w:r>
    </w:p>
    <w:p w:rsidR="002B1FF8" w:rsidRPr="00A20752" w:rsidRDefault="002B1FF8" w:rsidP="002B1FF8">
      <w:pPr>
        <w:numPr>
          <w:ilvl w:val="0"/>
          <w:numId w:val="4"/>
        </w:numPr>
        <w:suppressAutoHyphens/>
        <w:spacing w:before="120"/>
        <w:ind w:left="993" w:hanging="426"/>
        <w:jc w:val="both"/>
        <w:rPr>
          <w:color w:val="000000"/>
        </w:rPr>
      </w:pPr>
      <w:r w:rsidRPr="00A20752">
        <w:rPr>
          <w:color w:val="000000"/>
        </w:rPr>
        <w:t>обеспечение проверки каналов связи для передачи данных;</w:t>
      </w:r>
    </w:p>
    <w:p w:rsidR="002B1FF8" w:rsidRDefault="002B1FF8" w:rsidP="002B1FF8">
      <w:pPr>
        <w:numPr>
          <w:ilvl w:val="0"/>
          <w:numId w:val="4"/>
        </w:numPr>
        <w:suppressAutoHyphens/>
        <w:spacing w:before="60" w:after="60"/>
        <w:ind w:left="992" w:hanging="425"/>
        <w:jc w:val="both"/>
        <w:rPr>
          <w:color w:val="000000"/>
        </w:rPr>
      </w:pPr>
      <w:r w:rsidRPr="00A20752">
        <w:rPr>
          <w:color w:val="000000"/>
        </w:rPr>
        <w:t>проведение комплексной наладки оборудования, отладка их взаимодействия;</w:t>
      </w:r>
    </w:p>
    <w:p w:rsidR="002B1FF8" w:rsidRPr="00A20752" w:rsidRDefault="002B1FF8" w:rsidP="002B1FF8">
      <w:pPr>
        <w:numPr>
          <w:ilvl w:val="0"/>
          <w:numId w:val="4"/>
        </w:numPr>
        <w:suppressAutoHyphens/>
        <w:spacing w:before="60" w:after="60"/>
        <w:ind w:left="992" w:hanging="425"/>
        <w:jc w:val="both"/>
        <w:rPr>
          <w:color w:val="000000"/>
        </w:rPr>
      </w:pPr>
      <w:r w:rsidRPr="00CA6E1A">
        <w:rPr>
          <w:color w:val="000000"/>
        </w:rPr>
        <w:t xml:space="preserve">передача НСИ Заказчику для внесения информации в базу данных ИВК и </w:t>
      </w:r>
      <w:bookmarkStart w:id="4" w:name="_Hlk154510788"/>
      <w:r w:rsidRPr="00CA6E1A">
        <w:rPr>
          <w:color w:val="000000"/>
        </w:rPr>
        <w:t>СУП СПД</w:t>
      </w:r>
      <w:r w:rsidRPr="00A20752">
        <w:rPr>
          <w:color w:val="000000"/>
        </w:rPr>
        <w:t xml:space="preserve"> «Пионер»</w:t>
      </w:r>
      <w:bookmarkEnd w:id="4"/>
      <w:r w:rsidRPr="00A20752">
        <w:rPr>
          <w:color w:val="000000"/>
        </w:rPr>
        <w:t xml:space="preserve"> для автоматического сбора данных с вновь смонтированных ПУ;</w:t>
      </w:r>
    </w:p>
    <w:p w:rsidR="002B1FF8" w:rsidRPr="00897F72" w:rsidRDefault="002B1FF8" w:rsidP="002B1FF8">
      <w:pPr>
        <w:numPr>
          <w:ilvl w:val="0"/>
          <w:numId w:val="4"/>
        </w:numPr>
        <w:suppressAutoHyphens/>
        <w:ind w:left="992" w:hanging="425"/>
        <w:jc w:val="both"/>
        <w:rPr>
          <w:color w:val="000000"/>
        </w:rPr>
      </w:pPr>
      <w:r w:rsidRPr="00897F72">
        <w:rPr>
          <w:color w:val="000000"/>
        </w:rPr>
        <w:t>обеспечение дистанционной передачи данных с ПУ, смонтированных на объектах.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В случае отсутствия работ по организации опорной сети или непредоставления Заказчиком доступа к существующей опорной сети на объекте установки ПУ, соответствующие пуско-наладочные работы не выполняются.</w:t>
      </w:r>
    </w:p>
    <w:p w:rsidR="002B1FF8" w:rsidRPr="00A20752" w:rsidRDefault="002B1FF8" w:rsidP="002B1FF8">
      <w:pPr>
        <w:spacing w:before="120"/>
        <w:ind w:firstLine="357"/>
        <w:jc w:val="both"/>
        <w:rPr>
          <w:color w:val="000000"/>
        </w:rPr>
      </w:pPr>
      <w:r w:rsidRPr="00A20752">
        <w:rPr>
          <w:color w:val="000000"/>
        </w:rPr>
        <w:t>Приемка ПНР ПУ (СПД) осуществляется при выполнении следующих критериев:</w:t>
      </w:r>
    </w:p>
    <w:p w:rsidR="002B1FF8" w:rsidRPr="00A20752" w:rsidRDefault="002B1FF8" w:rsidP="002B1FF8">
      <w:pPr>
        <w:numPr>
          <w:ilvl w:val="0"/>
          <w:numId w:val="2"/>
        </w:numPr>
        <w:suppressAutoHyphens/>
        <w:ind w:left="1145" w:hanging="357"/>
        <w:jc w:val="both"/>
        <w:rPr>
          <w:color w:val="000000"/>
        </w:rPr>
      </w:pPr>
      <w:r w:rsidRPr="00A20752">
        <w:rPr>
          <w:color w:val="000000"/>
        </w:rPr>
        <w:t>За последние 14 (четырнадцать) календарных дней в системе ИВК Заказчика у всех смонтированных приборов учета, предъявленных к приемке, присутствует не менее четырех показаний</w:t>
      </w:r>
      <w:r>
        <w:rPr>
          <w:color w:val="000000"/>
        </w:rPr>
        <w:t xml:space="preserve"> </w:t>
      </w:r>
      <w:r>
        <w:rPr>
          <w:noProof/>
        </w:rPr>
        <w:t>активной электроэнергии</w:t>
      </w:r>
      <w:r w:rsidRPr="00A20752">
        <w:rPr>
          <w:color w:val="000000"/>
        </w:rPr>
        <w:t>, что подтверждается отчетом из ИВК Заказчика на дату его формирования.</w:t>
      </w:r>
    </w:p>
    <w:p w:rsidR="002B1FF8" w:rsidRPr="00A20752" w:rsidRDefault="002B1FF8" w:rsidP="002B1FF8">
      <w:pPr>
        <w:suppressAutoHyphens/>
        <w:spacing w:before="120"/>
        <w:ind w:left="23" w:firstLine="335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Сдача-приемка ПНР ПУ (СПД) может осуществляться как по отдельным ПУ, так и по группе ПУ. </w:t>
      </w:r>
    </w:p>
    <w:p w:rsidR="002B1FF8" w:rsidRPr="00A20752" w:rsidRDefault="002B1FF8" w:rsidP="002B1FF8">
      <w:pPr>
        <w:keepNext/>
        <w:keepLines/>
        <w:numPr>
          <w:ilvl w:val="2"/>
          <w:numId w:val="3"/>
        </w:numPr>
        <w:spacing w:before="120" w:line="259" w:lineRule="auto"/>
        <w:ind w:left="709" w:hanging="709"/>
        <w:jc w:val="both"/>
        <w:outlineLvl w:val="1"/>
        <w:rPr>
          <w:bCs/>
          <w:i/>
          <w:iCs/>
          <w:color w:val="000000"/>
          <w:sz w:val="28"/>
          <w:szCs w:val="28"/>
        </w:rPr>
      </w:pPr>
      <w:r w:rsidRPr="00A20752">
        <w:rPr>
          <w:b/>
          <w:bCs/>
          <w:i/>
          <w:iCs/>
          <w:color w:val="000000"/>
          <w:sz w:val="28"/>
          <w:szCs w:val="28"/>
        </w:rPr>
        <w:t>Требования к организации обеспечения услуг</w:t>
      </w:r>
    </w:p>
    <w:p w:rsidR="002B1FF8" w:rsidRPr="00A20752" w:rsidRDefault="002B1FF8" w:rsidP="002B1FF8">
      <w:pPr>
        <w:autoSpaceDE w:val="0"/>
        <w:autoSpaceDN w:val="0"/>
        <w:adjustRightInd w:val="0"/>
        <w:spacing w:after="160"/>
        <w:ind w:left="708"/>
        <w:jc w:val="both"/>
        <w:rPr>
          <w:color w:val="000000"/>
        </w:rPr>
      </w:pPr>
      <w:r w:rsidRPr="00A20752">
        <w:rPr>
          <w:color w:val="000000"/>
        </w:rPr>
        <w:t>Не требуется.</w:t>
      </w:r>
    </w:p>
    <w:p w:rsidR="002B1FF8" w:rsidRPr="00A20752" w:rsidRDefault="002B1FF8" w:rsidP="002B1FF8">
      <w:pPr>
        <w:autoSpaceDE w:val="0"/>
        <w:autoSpaceDN w:val="0"/>
        <w:adjustRightInd w:val="0"/>
        <w:spacing w:after="160"/>
        <w:ind w:left="708"/>
        <w:jc w:val="both"/>
        <w:rPr>
          <w:color w:val="000000"/>
        </w:rPr>
        <w:sectPr w:rsidR="002B1FF8" w:rsidRPr="00A20752" w:rsidSect="006570C1">
          <w:pgSz w:w="11906" w:h="16838"/>
          <w:pgMar w:top="993" w:right="849" w:bottom="851" w:left="1276" w:header="850" w:footer="850" w:gutter="0"/>
          <w:cols w:space="708"/>
          <w:docGrid w:linePitch="360"/>
        </w:sectPr>
      </w:pPr>
    </w:p>
    <w:p w:rsidR="005D32D8" w:rsidRDefault="005D32D8"/>
    <w:sectPr w:rsidR="005D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8210F"/>
    <w:multiLevelType w:val="hybridMultilevel"/>
    <w:tmpl w:val="F6B63724"/>
    <w:lvl w:ilvl="0" w:tplc="BF50D560">
      <w:start w:val="1"/>
      <w:numFmt w:val="bullet"/>
      <w:lvlText w:val="-"/>
      <w:lvlJc w:val="left"/>
      <w:pPr>
        <w:ind w:left="186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2C9E671B"/>
    <w:multiLevelType w:val="multilevel"/>
    <w:tmpl w:val="9FF4C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EEE142B"/>
    <w:multiLevelType w:val="hybridMultilevel"/>
    <w:tmpl w:val="9E94FD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70B6364"/>
    <w:multiLevelType w:val="hybridMultilevel"/>
    <w:tmpl w:val="7CC06FB0"/>
    <w:lvl w:ilvl="0" w:tplc="BF50D560">
      <w:start w:val="1"/>
      <w:numFmt w:val="bullet"/>
      <w:lvlText w:val="-"/>
      <w:lvlJc w:val="left"/>
      <w:pPr>
        <w:ind w:left="186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44595AE4"/>
    <w:multiLevelType w:val="hybridMultilevel"/>
    <w:tmpl w:val="2B4A193C"/>
    <w:lvl w:ilvl="0" w:tplc="3842B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FF8"/>
    <w:rsid w:val="002B1FF8"/>
    <w:rsid w:val="005D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C61-A118-4B18-BD56-BBC29E43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1210</Words>
  <Characters>6900</Characters>
  <Application>Microsoft Office Word</Application>
  <DocSecurity>0</DocSecurity>
  <Lines>57</Lines>
  <Paragraphs>16</Paragraphs>
  <ScaleCrop>false</ScaleCrop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2025-04-03T06:55:00Z</dcterms:created>
  <dcterms:modified xsi:type="dcterms:W3CDTF">2025-04-03T06:56:00Z</dcterms:modified>
</cp:coreProperties>
</file>